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289" w:type="dxa"/>
        <w:tblInd w:w="492" w:type="dxa"/>
        <w:tblLayout w:type="fixed"/>
        <w:tblLook w:val="0000" w:firstRow="0" w:lastRow="0" w:firstColumn="0" w:lastColumn="0" w:noHBand="0" w:noVBand="0"/>
      </w:tblPr>
      <w:tblGrid>
        <w:gridCol w:w="674"/>
        <w:gridCol w:w="2433"/>
        <w:gridCol w:w="7182"/>
      </w:tblGrid>
      <w:tr>
        <w:tblPrEx/>
        <w:trPr>
          <w:trHeight w:val="440"/>
        </w:trPr>
        <w:tc>
          <w:tcPr>
            <w:gridSpan w:val="3"/>
            <w:tcBorders>
              <w:bottom w:val="single" w:color="000000" w:sz="4" w:space="0"/>
            </w:tcBorders>
            <w:tcW w:w="10289" w:type="dxa"/>
            <w:vAlign w:val="center"/>
            <w:textDirection w:val="lrTb"/>
            <w:noWrap w:val="false"/>
          </w:tcPr>
          <w:p>
            <w:pPr>
              <w:pStyle w:val="812"/>
              <w:spacing w:after="0" w:line="283" w:lineRule="atLeast"/>
              <w:tabs>
                <w:tab w:val="left" w:pos="8280" w:leader="none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                                                                                                                          Приложение № 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pStyle w:val="812"/>
              <w:spacing w:after="0" w:line="283" w:lineRule="atLeas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                                                                                                                          к Техническим требованиям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jc w:val="center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r>
          </w:p>
          <w:p>
            <w:pPr>
              <w:jc w:val="center"/>
              <w:tabs>
                <w:tab w:val="left" w:pos="8280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ЗАДАНИЕ НА ПРОЕКТИРОВАНИЕ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Выполнение проектных работ по объекту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 «Реконструкция системы гидрозолоудаления энергоблоков ст. № 1,2,3 Нерюнгринской ГРЭС» в рамках реализации инвестиционного проекта Q_505-НГ-161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</w:rPr>
              <w:t xml:space="preserve">№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</w:rPr>
              <w:t xml:space="preserve">Наименование разделов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</w:rPr>
              <w:t xml:space="preserve">Содержание раздела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Основание для проектирования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10"/>
              </w:numPr>
              <w:ind w:left="0"/>
              <w:jc w:val="both"/>
              <w:tabs>
                <w:tab w:val="left" w:pos="752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1. План краткосрочных мероприятий по сокр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ащению ограничений располагаемой мощности Нерюнгринской ГРЭС по причине шлакования поверхностей нагрева и зашлаковки системы гидрозолоудаления котлов при сжигании непроектных углей Денисовского и Право-Кабактинского разрезов с учётом рекомендаций АО «ХЭТК»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Вид строительства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10"/>
              </w:numPr>
              <w:ind w:left="0"/>
              <w:jc w:val="both"/>
              <w:tabs>
                <w:tab w:val="left" w:pos="752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/>
                <w:color w:val="000000" w:themeColor="text1"/>
                <w:sz w:val="24"/>
                <w:szCs w:val="24"/>
              </w:rPr>
            </w:r>
            <w:r>
              <w:rPr>
                <w:strike w:val="0"/>
                <w:color w:val="000000" w:themeColor="text1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ехническое перевооружение (модернизация)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Стадийность выполнения проектных работ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4"/>
              </w:numPr>
              <w:ind w:left="0"/>
              <w:jc w:val="both"/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1. Предпроектное обследование и сбор исходных данных.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836"/>
              <w:numPr>
                <w:ilvl w:val="0"/>
                <w:numId w:val="24"/>
              </w:numPr>
              <w:ind w:left="0"/>
              <w:jc w:val="both"/>
              <w:shd w:val="clear" w:color="ffffff" w:themeColor="background1" w:fill="ffffff" w:themeFill="background1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Разработка общих технических решений (ОТР)</w:t>
            </w:r>
            <w:r>
              <w:rPr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24"/>
              </w:numPr>
              <w:ind w:left="0"/>
              <w:jc w:val="both"/>
              <w:shd w:val="clear" w:color="ffffff" w:themeColor="background1" w:fill="ffffff" w:themeFill="background1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Разработка рабочей документации, включая сметную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24"/>
              </w:numPr>
              <w:ind w:left="0"/>
              <w:jc w:val="both"/>
              <w:shd w:val="clear" w:color="ffffff" w:themeColor="background1" w:fill="ffffff" w:themeFill="background1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Экспертиза промышленной безопасности разработанной документации с получением положительного заключения.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0"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Выделение этапов строительства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4"/>
              </w:numPr>
              <w:ind w:left="0"/>
              <w:jc w:val="both"/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1. Реконструкция системы гидрозолоудаления энергоблока ст. № 1 Нерюнгринской ГРЭС» в рамках реализации инвестиционного проекта Q_505-НГ-161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836"/>
              <w:numPr>
                <w:ilvl w:val="0"/>
                <w:numId w:val="26"/>
              </w:numPr>
              <w:ind w:left="0"/>
              <w:jc w:val="both"/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 Реконструкция системы гидрозолоудаления энергоблока ст. № 2 Нерюнгринской ГРЭС» в рамках реализации инвестиционного проекта Q_505-НГ-161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836"/>
              <w:numPr>
                <w:ilvl w:val="0"/>
                <w:numId w:val="27"/>
              </w:numPr>
              <w:ind w:left="0"/>
              <w:jc w:val="both"/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 Реконструкция системы гидрозолоудаления энергоблока ст. № 3 Нерюнгринской ГРЭС» в рамках реализации инвестиционного проекта Q_505-НГ-161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Район строительства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Республика Саха (Якутия), Нерюнгринский район,                   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пос. Серебряный бор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7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Сроки выполнения проектных работ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0"/>
              </w:numPr>
              <w:contextualSpacing w:val="0"/>
              <w:ind w:left="0" w:right="-2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Срок выполнения работ: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19"/>
              </w:numPr>
              <w:contextualSpacing w:val="0"/>
              <w:ind w:left="0" w:right="-2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начало выполнения работ – с даты следующей за датой заключения договора;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19"/>
              </w:numPr>
              <w:contextualSpacing w:val="0"/>
              <w:ind w:left="0" w:right="-2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окончание выполнения работ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не более 120 календарных дней с даты следующей за датой заключения договора, но не позднее 31.12.2025г.;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ind w:right="-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Предпроектное обследование и сбор исходных данных - 30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календарных дней;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 Разработка ОТР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в течении 30 календарных дней;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right="-20"/>
              <w:jc w:val="both"/>
              <w:tabs>
                <w:tab w:val="left" w:pos="31" w:leader="none"/>
                <w:tab w:val="left" w:pos="884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 Разработка РД, включая сметную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в течении 30 календарных дней с даты принятия ОТР;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right="-20"/>
              <w:jc w:val="both"/>
              <w:tabs>
                <w:tab w:val="left" w:pos="31" w:leader="none"/>
                <w:tab w:val="left" w:pos="884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Экспертиза промышленной безопасности РД с получением положительного заключения – в течении 30 календарных дней с даты ра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зработки рабочей документации,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но не позднее 31.12.2025г.</w:t>
            </w:r>
            <w:r/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8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Цель работы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contextualSpacing/>
              <w:ind w:right="340"/>
              <w:jc w:val="both"/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white"/>
              </w:rPr>
              <w:t xml:space="preserve">Модернизация системы гидрозолоудаления для обеспечения </w:t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white"/>
                <w:u w:val="none"/>
              </w:rPr>
              <w:t xml:space="preserve">бесшлаковочного </w:t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white"/>
              </w:rPr>
              <w:t xml:space="preserve">режима работы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при сжигании непроектных углей</w:t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Исходные данные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Схема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и состав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существующей системы гидрозолоудаления энергоблоков ст. № 1,2,3 СП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«НГРЭС»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Технические требования.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none"/>
              </w:rPr>
              <w:t xml:space="preserve">Сертификаты качества на угли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Денисовского и Право-Кабактинского разрезов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Дополнительные сведения предоставляются Заказчиком по письменному запросу Подрядчика с указанием перечня необходимых сведений и документов.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Основные объёмы проектных ра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бот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1. Предпроектное обследование: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1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Перед началом проектирования выполнить комплекс обследований, включая сбор исходных данных, в объеме, необходимом для выполнения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работ. В том числе определить: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12"/>
              </w:numPr>
              <w:ind w:left="0" w:firstLine="0"/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состав, размещение, срок эксплуатации и техническое состояние существующего первичного оборудования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1.2. Результ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аты предпроектного обследования согласовать с Заказчиком,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отчет с результатами предпроектного обследования оформить отдельным томом в составе ОТР.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1.3. Предпроектное обследование проводится Подрядчиком самостоятельно, с выездом специалистов на объекты. Заказчик обеспечивает доступ на объект и оказывает необходимое содействие в сборе исходных данных.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2. Р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азработка, согласование и экспертиза ОТР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Подготовить технические решени</w:t>
            </w:r>
            <w:r>
              <w:rPr>
                <w:color w:val="000000" w:themeColor="text1"/>
                <w:sz w:val="24"/>
                <w:szCs w:val="24"/>
              </w:rPr>
              <w:t xml:space="preserve">я</w:t>
            </w:r>
            <w:r>
              <w:rPr>
                <w:color w:val="000000" w:themeColor="text1"/>
                <w:sz w:val="24"/>
                <w:szCs w:val="24"/>
              </w:rPr>
              <w:t xml:space="preserve"> по модернизации существующей системы гидрозолоудаления с </w:t>
            </w:r>
            <w:r>
              <w:rPr>
                <w:color w:val="000000" w:themeColor="text1"/>
                <w:sz w:val="24"/>
                <w:szCs w:val="24"/>
              </w:rPr>
              <w:t xml:space="preserve">в</w:t>
            </w:r>
            <w:r>
              <w:rPr>
                <w:color w:val="000000" w:themeColor="text1"/>
                <w:sz w:val="24"/>
                <w:szCs w:val="24"/>
              </w:rPr>
              <w:t xml:space="preserve">ыбором состава основного оборудования, с указанием </w:t>
            </w:r>
            <w:r>
              <w:rPr>
                <w:color w:val="000000" w:themeColor="text1"/>
                <w:sz w:val="24"/>
                <w:szCs w:val="24"/>
              </w:rPr>
              <w:t xml:space="preserve">(определением) </w:t>
            </w:r>
            <w:r>
              <w:rPr>
                <w:color w:val="000000" w:themeColor="text1"/>
                <w:sz w:val="24"/>
                <w:szCs w:val="24"/>
              </w:rPr>
              <w:t xml:space="preserve">предварительных стоимостных параметров.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На данном этап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е выполнить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(но не ограничиваясь)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tabs>
                <w:tab w:val="clear" w:pos="0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выполнить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оценку и оценить объемы работ для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производительности Эрлифтных установок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 в связи 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изменением характеристик сжигаемого топлива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 котельных агрегатов ТПЕ-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214 СЗХЛ ст. № 1,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2, 3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проведение детальных расчетов и математического моделирования гидрогазодинамики системы;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р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азработка и расчет технических решений по модернизации эрлифтных установок: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предусмотреть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становку турбовоздуходувок или турбокомпрессоров повышенной мощности для транспортировки большего объёма  пульпы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 связи 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изменением характеристик сжигаемого топлива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котельных агрегатов ТПЕ-214 СЗХЛ ст. № 1,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2, 3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Оформление технических требований на поставку оборудования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tabs>
                <w:tab w:val="clear" w:pos="0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оценить необходимость проведения восстановительных  работ существующей системы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предусмотреть возможность безопасного обслуживания устанавливаемого оборудования;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предусмотреть установку системы дистанционного управления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турбовоздуходувок или турбокомпрессоров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способ прокладки кабельных трасс в кабельных коробах.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tabs>
                <w:tab w:val="clear" w:pos="0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при необходимости предусмотреть установку новых грузоподъемных механизмов;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tabs>
                <w:tab w:val="clear" w:pos="0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учесть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что работы по реконструкции будут выполняться в условиях работы существующего оборудования;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tabs>
                <w:tab w:val="clear" w:pos="0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определить необходимость монтажа временных участков трубопроводов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tabs>
                <w:tab w:val="clear" w:pos="0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основные технические решения должны быть разработаны с учетом обеспечения безопасности обслуживания оборудования; обеспечения надежности работы оборудования; минимизации эксплуатационных затрат; снижение металлоемкости;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снижения металлоемкости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, охраны окружающей среды;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tabs>
                <w:tab w:val="clear" w:pos="0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 ОТР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должны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применяться оборудование и материалы отечественных производителей.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ligatures w14:val="none"/>
              </w:rPr>
            </w:r>
          </w:p>
          <w:p>
            <w:pPr>
              <w:pStyle w:val="836"/>
              <w:numPr>
                <w:ilvl w:val="0"/>
                <w:numId w:val="28"/>
              </w:numPr>
              <w:ind w:left="31" w:hanging="31"/>
              <w:jc w:val="both"/>
              <w:spacing w:line="276" w:lineRule="auto"/>
              <w:shd w:val="clear" w:color="ffffff" w:themeColor="background1" w:fill="ffffff" w:themeFill="background1"/>
              <w:tabs>
                <w:tab w:val="clear" w:pos="0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выполнить оценку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величины капитальных затрат на модернизацию.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both"/>
              <w:tabs>
                <w:tab w:val="left" w:pos="881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3. Разработка РД и согласование с Заказчиком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3.1. Разработка рабочей документации выполняется на основании утвержденной ОТР. Объём и состав рабочей документации должен соответствовать требованиям Национ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ального стандарта Российской Федерации ГОСТ Р 21.101-2020 «Система проектной документации для строительства. Основные требования к проектной и рабочей документации».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3.2. Объем рабочей документации должен быть достаточным для заказа (изготовления) оборудов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ания,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 проведения строительно-монтажных работ.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3.3. В составе РД учесть разработку необходимых комплектов чертежей, планов расположения, схем принципиальных, монтажных, спецификации оборудования.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3.4. Разработать общую пояснительную записку в соответствии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с требованиями Постановления Правительства Российской Федерации от 16.02.2008 № 87.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3.5. Разработать раздел проект организации строительства (ПОС). ПОС оформить приложением к основному комплекту РД. ПОС выполнить в соответствии с требованиями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СП 48.13330.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2019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«Свод правил. Организация строительства». Содержание ПОС должно соответствовать требованиям пункта 23 раздела 6 Постановления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Правительства Российской Федерации от 16.02.2008 № 87 «О составе разделов проектной документации и требованиях к их содержани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ю».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3.6. В составе ПОС разработать: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14"/>
              </w:numPr>
              <w:ind w:left="0" w:firstLine="0"/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календарный план строительства;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14"/>
              </w:numPr>
              <w:ind w:left="0" w:firstLine="0"/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ведомости объемов общестроительных, монтажных и специальных строительных работ;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14"/>
              </w:numPr>
              <w:ind w:left="0" w:firstLine="0"/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ведомость потребности в строительных конструкциях, изделиях, материалах и оборудовании с распределением по календарным периодам строительства;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14"/>
              </w:numPr>
              <w:ind w:left="0" w:firstLine="0"/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перечень работ, для которых необходимо составление актов освидетельствования скрытых работ и актов промежуточной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приемки ответственных конструкций (работ), порядок проведения приемочных испытаний (проверок);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14"/>
              </w:numPr>
              <w:ind w:left="0" w:firstLine="0"/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краткую пояснительную записку.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3.7. При составлении календарного плана строительства учесть сроки изготовления и доставки оборудования к месту строительства.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3.8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 В составе прилагаемых документов к РД разработать: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15"/>
              </w:numPr>
              <w:ind w:left="0" w:firstLine="0"/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инструкции по эксплуатации устанавливаемого оборудования (системы);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15"/>
              </w:numPr>
              <w:ind w:left="31" w:hanging="3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сметную документацию.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ind w:left="31" w:firstLine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4.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Экспертиза промышленной безопасности рабочей документации с получением положительного заключения.</w:t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Требования пожарной безопасности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ind w:right="-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Документацию выполнить с учетом Федерального закона Российской Федерации от 22.07.2008 №123-ФЗ «Технический регламент о требованиях пожарной безопасности», Инструкции по проектированию противопожарной защиты энергетических предприятий, РД 153-34.0-49.101-2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003, и иных нормативно-технических документов.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pStyle w:val="812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Порядок формирования цены договора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textDirection w:val="lrTb"/>
            <w:noWrap w:val="false"/>
          </w:tcPr>
          <w:p>
            <w:pPr>
              <w:pStyle w:val="812"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1. Разработка сметной документации осуществляется согласно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Требованиям к оформлению и составлению документации по ценообразованию (приложение №2 к Техническим требованиям)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2. Командировочные расходы определяются по предварительному расчету с расшифровкой затрат на проезд, проживание, суточные расходы (не более 500 руб./сут.). Заказчик имеет право в пе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риод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действия договора запросить у Подрядчика копии первичных документов, платёжные поручения, реестры и т.д. для проверки соответствия суммы командировочных расходов фактическим затратам.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"/>
              </w:numPr>
              <w:ind w:left="34" w:firstLine="1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Сметная документация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textDirection w:val="lrTb"/>
            <w:noWrap w:val="false"/>
          </w:tcPr>
          <w:p>
            <w:pPr>
              <w:pStyle w:val="836"/>
              <w:numPr>
                <w:ilvl w:val="0"/>
                <w:numId w:val="9"/>
              </w:num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</w:t>
            </w:r>
            <w:r>
              <w:rPr>
                <w:color w:val="000000" w:themeColor="text1"/>
                <w:sz w:val="24"/>
                <w:szCs w:val="24"/>
              </w:rPr>
              <w:t xml:space="preserve">тоимость работ определить ресурсно-индексны</w:t>
            </w:r>
            <w:r>
              <w:rPr>
                <w:color w:val="000000" w:themeColor="text1"/>
                <w:sz w:val="24"/>
                <w:szCs w:val="24"/>
              </w:rPr>
              <w:t xml:space="preserve">м методом, с использованием ФСНБ-2022 с изм.1-14 актуальной редакции и применением данных ФГИС, разработанных на момент составлени</w:t>
            </w:r>
            <w:r>
              <w:rPr>
                <w:color w:val="000000" w:themeColor="text1"/>
                <w:sz w:val="24"/>
                <w:szCs w:val="24"/>
              </w:rPr>
              <w:t xml:space="preserve">я ОТР.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9"/>
              </w:num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Норматив сметной прибыли при составлении сметной документации принимать в размере 40% от ФОТ для СМР и 36% от ФОТ для ПНР.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9"/>
              </w:num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Командировочные затраты предусмотреть в размере 3,74% от итогов глав 1-9 без учёта стоимости оборудования.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9"/>
              </w:num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Величину резерва средств на непредвиденные работы и затраты принимать в размере 3%.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9"/>
              </w:num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Затраты на пусконаладочные работы определяются путем составления локальных смет.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6. Сводный сметный расчет составляется в текущих ценах на момент производства работ. Примен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яемые ценообразующие документы согласовать с заказчиком СП «Нерюнгринская ГРЭС» АО «ДГК», СДО АО «ДГК».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7. Стоимость оборудования на момент составления сметной стоимости принимать по каталогам заводов-поставщиков с максимальным учётом всех сопутствующих за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трат. Применяемое в проекте оборудование согласовать с заказчиком. В состав проекта включить документы, подтверждающие учтённую стоимость оборудования. При учете в сметах материалов и оборудования, стоимость которых принята по текущим ценам, подтвердить ст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оимость учтенных материалов и оборудования сравнительной таблицей с предложениями от трех поставщиков.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8. Сводный сметный расчёт, объектные сметы, составляются в базисном и текущем уровне цен на момент строительства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9. Предусмотреть: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8"/>
              </w:numPr>
              <w:ind w:left="31" w:right="5"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затраты на выполнение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пусконаладочных работ путем составления локальных смет, авторский надзор, необходимые затраты на проведение испытаний для вновь монтируемого оборудования;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8"/>
              </w:numPr>
              <w:ind w:left="31" w:right="5"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затраты на восстановление нарушенного при производстве работ благоустройства и организацию дорог и 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ехнологических и ремонтных проездов;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8"/>
              </w:numPr>
              <w:ind w:left="31" w:right="5"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дополнительные затраты на общестроительные и восстановительные работы при необходимости.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spacing w:line="283" w:lineRule="atLeast"/>
              <w:tabs>
                <w:tab w:val="left" w:pos="102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10. Предусмотреть выдачу сборника заказных спецификаций и поэтапную выдачу спецификаций.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Особые условия Заказчика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Все заме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чания, а также несоответствия рабочей документации и проектных решений требованиям действующих нормативных и законодательных актов, устраняются «Подрядчиком» за счет собственных сил и средств, с внесением необходимых исправлений и изменений в документацию.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2. При выполнении работ учесть основные технические характеристики оборудования Нерюнгринской ГРЭС.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3. Не допускается указание в документации, в том числе спецификациях оборудования и материалов, конкретных производителей. Указываются тип, марка и характе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ристики оборудования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4. В составе рабочей документации предусмотреть: сборочные и деталировочные чертежи, опросные листы для изготовления и заказа необходимого оборудования, узлов и деталей, а также выполнение всего комплекса работ по реализации объекта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5. Указать в опросных листах технические характеристики и конструктивные исполнения оборудования, которые требуют при поставке заводы-изготовители.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numPr>
                <w:ilvl w:val="0"/>
                <w:numId w:val="18"/>
              </w:numPr>
              <w:ind w:left="0"/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6. Состав сметной документации должен включать в себя в том числе: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локальные сметы (сметные расчеты) на от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дельные виды работ, которые необходимо выполнить по данному объекту;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ведомости объёмов работ;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прайс-листы и технико-коммерческие предложения на материалы и оборудование.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7. Вся разрабатываемая документация должна б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ыть согласована в требуемом объёме с 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 «ДГК» СП «Нерюнгринская ГРЭС»,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ff"/>
              </w:rPr>
              <w:t xml:space="preserve">и собственниками объектов, технологически связанных с объектом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00"/>
              </w:rPr>
              <w:t xml:space="preserve">проектирования (при наличии).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  <w:p>
            <w:pPr>
              <w:pStyle w:val="812"/>
              <w:numPr>
                <w:ilvl w:val="0"/>
                <w:numId w:val="18"/>
              </w:numPr>
              <w:ind w:left="0"/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8. Рабочая и иная документация (с указанием даты внесения изменений), оформленная в установленном порядке (в том числе и с офици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альными подписями), должна быть представлена в формате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PDF.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812"/>
              <w:numPr>
                <w:ilvl w:val="0"/>
                <w:numId w:val="18"/>
              </w:numPr>
              <w:ind w:left="0"/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Не допускается передача документации в формате PDF с пофайловым разделением страниц.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numPr>
                <w:ilvl w:val="0"/>
                <w:numId w:val="18"/>
              </w:numPr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9. При направлении откорректированных материалов РД разработчиком должен быть приложен перечень направляе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36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10. Не допускается передача проектной документации в органы экспертизы без получения согласования собственников объектов,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технологически связанных с объектом проектирования, и собственниками объектов (при наличии), 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которых предусматривается выполнение работ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14.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Перечень нормативных документов и приказов, обязательных к применению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pStyle w:val="836"/>
              <w:ind w:left="0"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При проектировании необходимо руководствоваться последними редакциями документов, необходимых и дей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ствующих на момент разработки документации, в том числе не указанных в данном разделе. А также: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 Федеральный закон от 29.12.2004 № 190-ФЗ «Градостроительный кодекс Российской Федерации»;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 – Федеральный закон от 30.12.2009 № 384-ФЗ «Технический регламент 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безопасности зданий и сооружений»;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Федеральный закон РФ от 27.12.2002 № 184-ФЗ «О техническом регулировании»;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ind w:right="137"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Федеральный закон от 10.01.2002 № 7-ФЗ «Об охране окружающей среды»;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Федеральный закон от 21.12.1994 № 69-ФЗ «О пожарной безопасности»;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Ф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едеральный закон от 21.07.1997 № 116-ФЗ «О промышленной безопасности опасных производственных объектов»;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Постановление Правительства Российской Федерации от 16.02.2008 № 87 «О составе разделов проектной документации и требованиях к их содержанию»;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Пост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ановления Правительства РФ от 16.09.2020 № 1479 «Об утверждении Правил противопожарного режима в Российской Федерации»;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Постановления Правительства РФ от 24.12.2020 № 2255 «Об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утверждении требований к осветительным устройствам и электрическим лампам, исп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ользуемым в цепях переменного тока в целях освещения»;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Приказ Министерства энергетики Российской Федерации от 04.10.2022 №1070 «Об утверждении Правил технической эксплуатации электрических станций и сетей Российской Федерации»;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 Приказ Министерства труд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 и социальной защиты Российской Федерации от 15.12.2020 №903н «Об утверждении Правил по охране труда при эксплуатации электроустановок»;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Приказ Министерства труда и социальной защиты Российской Федерации от 16.11.2020 №782н «Об утверждении Правил по охр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ане труда при работе на высоте»;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Приказ Министерства энергетики РФ от 08.07.2002 №204.  Раздел 2. Глава 2.1, 2.3 Правил устройства электроустановок ПУЭ (издание седьмое);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Приказ Ростехнадзора от 15.12.2020 №529 «Об утверждении федеральных норм и прави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л в области промышленной безопасности «Правила промышленной безопасности складов нефти и нефтепродуктов»;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ind w:right="137"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ГОСТ 31565 - 2012 «Кабе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льные изделия. Требования пожарной безопасности»;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ind w:right="137"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ГОСТ 22483-2012 «Жилы токопроводящие для кабелей, проводов и шнуров»;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pStyle w:val="812"/>
              <w:contextualSpacing/>
              <w:ind w:right="137"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 48.13330.2019 Свод правил. Организация строительства;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ind w:right="137"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СП 131.13330.2020. Свод правил. Строительная климатология;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ind w:right="137"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СП 76.13330.2016 «Электротехнические устройства»;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СП 7.13130.2013 «Отопление, вентиляция и кондиционирование Требования пожарной безопа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сности».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pStyle w:val="812"/>
              <w:contextualSpacing/>
              <w:ind w:right="137"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СанПиН 2.2.1/2.1.1.1200-03 «Санитарно-защитные зоны и санитарная классификация предприятий, сооружений и иных объектов»;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ind w:right="137"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 СанПиН 1.2.3685-21 «Гигиенические нормативы и требования к обеспечению безопасности и (или) безвредности для человека факторов среды обитания»;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СО 153-34.21.122-2003 (РД 34.21.122-87) «Инструкция по устройству молниезащиты зданий, сооружений и промышл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енных коммуникаций»;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 ГОСТ Р 21.101-2020 «Система проектной документации для строительства. Основные требования к проектной и рабочей документации»;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 Приказ Министерства энергетики Российской Федерации от 14.05.2019 № 465 «Об утверждении Правил проведени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я технического освидетельствования оборудования, зданий и сооружений объектов электроэнергетики»;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Постановле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ние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 закупок товаров, работ, услуг отдельными видами юридических лиц»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12"/>
              <w:contextualSpacing/>
              <w:jc w:val="both"/>
              <w:spacing w:line="283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 Другая действующая на момент разработки проектной документации нормативно-техническая документация, действующие законодательные 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окументы Российской Федерац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ии и нормативные акты к ним.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spacing w:before="24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15.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spacing w:befor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spacing w:before="24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Количество экземпляров рабочего проекта, предоставляемого Заказчику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pStyle w:val="836"/>
              <w:ind w:left="0" w:firstLine="31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Четыре экземпляра в бумажном виде </w:t>
            </w:r>
            <w:r>
              <w:rPr>
                <w:color w:val="000000" w:themeColor="text1"/>
                <w:sz w:val="24"/>
                <w:szCs w:val="24"/>
              </w:rPr>
              <w:t xml:space="preserve">(прошитых, пронумерованных, подписанных, скрепленных печатью организации)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 один в электронном на электронном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USB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носителе.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ind w:firstLine="31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Формат передаваемой в электронном виде документации: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6"/>
              </w:numPr>
              <w:ind w:left="31"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Текстовая часть – doc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 pdf («ПОС» обязательно и в pdf и doc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) с подписями на титульных листах;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6"/>
              </w:numPr>
              <w:ind w:left="31"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Графическая часть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vsd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 dwg, pdf, tiff,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cdw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6"/>
              </w:numPr>
              <w:ind w:left="31"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Таблицы данных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pdf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 doc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 xls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6"/>
              </w:numPr>
              <w:ind w:left="31"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Сметные расчеты – в формате ПК «Гранд-Смета» -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gsfx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 Excel - xls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x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ind w:left="0" w:firstLine="31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Допускается 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аличие аналогичных программных продуктов, которые должны полностью поддерживать форматы указанного ПО Заказчика, с набором функций, не уступающих указанному ПО и схожим с ним интерфейсом: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7"/>
              </w:numPr>
              <w:ind w:left="31"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Таблицы данных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docx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xlsx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pStyle w:val="836"/>
              <w:numPr>
                <w:ilvl w:val="0"/>
                <w:numId w:val="7"/>
              </w:numPr>
              <w:ind w:left="31"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Презентационные материалы – ppt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x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4" w:type="dxa"/>
            <w:vAlign w:val="center"/>
            <w:textDirection w:val="lrTb"/>
            <w:noWrap w:val="false"/>
          </w:tcPr>
          <w:p>
            <w:pPr>
              <w:ind w:left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16.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Приложения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2" w:type="dxa"/>
            <w:vAlign w:val="center"/>
            <w:textDirection w:val="lrTb"/>
            <w:noWrap w:val="false"/>
          </w:tcPr>
          <w:p>
            <w:pPr>
              <w:pStyle w:val="836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Схема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и состав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существующей системы гидрозолоудаления энергоблоков ст. № 1,2,3 СП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«НГРЭС»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81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81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</w:rPr>
      </w:r>
      <w:bookmarkStart w:id="1" w:name="_GoBack"/>
      <w:r>
        <w:rPr>
          <w:rFonts w:ascii="Times New Roman" w:hAnsi="Times New Roman" w:eastAsia="Times New Roman" w:cs="Times New Roman"/>
          <w:color w:val="000000" w:themeColor="text1"/>
        </w:rPr>
      </w:r>
      <w:bookmarkEnd w:id="1"/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426" w:right="424" w:bottom="426" w:left="709" w:header="0" w:footer="164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Verdana">
    <w:panose1 w:val="020B0604030504040204"/>
  </w:font>
  <w:font w:name="Lohit Devanagari">
    <w:panose1 w:val="020B0600000000000000"/>
  </w:font>
  <w:font w:name="OpenSymbol">
    <w:panose1 w:val="05010000000000000000"/>
  </w:font>
  <w:font w:name="Courier New">
    <w:panose1 w:val="02070309020205020404"/>
  </w:font>
  <w:font w:name="MS Mincho">
    <w:panose1 w:val="0202060305040509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5"/>
      <w:jc w:val="center"/>
    </w:pPr>
    <w:r>
      <w:t xml:space="preserve">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8</w:t>
    </w:r>
    <w:r>
      <w:rPr>
        <w:sz w:val="24"/>
        <w:szCs w:val="24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  <w:tabs>
          <w:tab w:val="num" w:pos="0" w:leader="none"/>
        </w:tabs>
      </w:pPr>
      <w:rPr>
        <w:sz w:val="24"/>
      </w:r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color w:val="ff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909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2" w:hanging="360"/>
        <w:tabs>
          <w:tab w:val="num" w:pos="0" w:leader="none"/>
        </w:tabs>
      </w:pPr>
      <w:rPr>
        <w:rFonts w:hint="default" w:ascii="Times New Roman" w:hAnsi="Times New Roman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75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2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2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2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bullet"/>
      <w:pStyle w:val="851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6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76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296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16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36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56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76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896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16" w:hanging="18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2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5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2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2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2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pStyle w:val="855"/>
      <w:isLgl w:val="false"/>
      <w:suff w:val="tab"/>
      <w:lvlText w:val="–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cs="Times New Roman"/>
        <w:spacing w:val="30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29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36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4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6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78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0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2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4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6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895" w:hanging="360"/>
        <w:tabs>
          <w:tab w:val="num" w:pos="0" w:leader="none"/>
        </w:tabs>
      </w:pPr>
      <w:rPr>
        <w:rFonts w:hint="default" w:ascii="Times New Roman" w:hAnsi="Times New Roman" w:cs="Times New Roman"/>
        <w:color w:val="auto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61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5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5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5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5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5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6">
    <w:multiLevelType w:val="hybridMultilevel"/>
    <w:lvl w:ilvl="0">
      <w:start w:val="1"/>
      <w:numFmt w:val="bullet"/>
      <w:pStyle w:val="857"/>
      <w:isLgl w:val="false"/>
      <w:suff w:val="tab"/>
      <w:lvlText w:val="–"/>
      <w:lvlJc w:val="left"/>
      <w:pPr>
        <w:ind w:left="1287" w:hanging="360"/>
        <w:tabs>
          <w:tab w:val="num" w:pos="1287" w:leader="none"/>
        </w:tabs>
      </w:pPr>
      <w:rPr>
        <w:rFonts w:hint="default" w:ascii="Times New Roman" w:hAnsi="Times New Roman" w:cs="Times New Roman"/>
        <w:b w:val="0"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214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93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4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4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4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4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4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9">
    <w:multiLevelType w:val="hybridMultilevel"/>
    <w:lvl w:ilvl="0">
      <w:start w:val="1"/>
      <w:numFmt w:val="decimal"/>
      <w:pStyle w:val="75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75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6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76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296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16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36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56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76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896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16" w:hanging="180"/>
        <w:tabs>
          <w:tab w:val="num" w:pos="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6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76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296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16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36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56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76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896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16" w:hanging="180"/>
        <w:tabs>
          <w:tab w:val="num" w:pos="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6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76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296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16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36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56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76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896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16" w:hanging="180"/>
        <w:tabs>
          <w:tab w:val="num" w:pos="0" w:leader="none"/>
        </w:tabs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29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36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4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6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78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0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2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4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6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19"/>
  </w:num>
  <w:num w:numId="2">
    <w:abstractNumId w:val="4"/>
  </w:num>
  <w:num w:numId="3">
    <w:abstractNumId w:val="7"/>
  </w:num>
  <w:num w:numId="4">
    <w:abstractNumId w:val="11"/>
  </w:num>
  <w:num w:numId="5">
    <w:abstractNumId w:val="16"/>
  </w:num>
  <w:num w:numId="6">
    <w:abstractNumId w:val="13"/>
  </w:num>
  <w:num w:numId="7">
    <w:abstractNumId w:val="9"/>
  </w:num>
  <w:num w:numId="8">
    <w:abstractNumId w:val="17"/>
  </w:num>
  <w:num w:numId="9">
    <w:abstractNumId w:val="20"/>
  </w:num>
  <w:num w:numId="10">
    <w:abstractNumId w:val="1"/>
  </w:num>
  <w:num w:numId="11">
    <w:abstractNumId w:val="8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6"/>
  </w:num>
  <w:num w:numId="17">
    <w:abstractNumId w:val="15"/>
  </w:num>
  <w:num w:numId="18">
    <w:abstractNumId w:val="18"/>
  </w:num>
  <w:num w:numId="19">
    <w:abstractNumId w:val="14"/>
  </w:num>
  <w:num w:numId="20">
    <w:abstractNumId w:val="2"/>
  </w:num>
  <w:num w:numId="21">
    <w:abstractNumId w:val="3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9" w:default="1">
    <w:name w:val="Normal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50">
    <w:name w:val="Heading 1"/>
    <w:basedOn w:val="749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</w:rPr>
  </w:style>
  <w:style w:type="paragraph" w:styleId="751">
    <w:name w:val="Heading 2"/>
    <w:basedOn w:val="749"/>
    <w:qFormat/>
    <w:pPr>
      <w:numPr>
        <w:ilvl w:val="1"/>
        <w:numId w:val="1"/>
      </w:numPr>
      <w:keepNext/>
      <w:spacing w:before="360" w:after="120"/>
      <w:outlineLvl w:val="1"/>
    </w:pPr>
    <w:rPr>
      <w:sz w:val="32"/>
    </w:rPr>
  </w:style>
  <w:style w:type="paragraph" w:styleId="752">
    <w:name w:val="Heading 3"/>
    <w:basedOn w:val="749"/>
    <w:qFormat/>
    <w:pPr>
      <w:ind w:left="284" w:right="284" w:firstLine="567"/>
      <w:jc w:val="both"/>
      <w:keepNext/>
      <w:spacing w:before="360" w:after="240" w:line="480" w:lineRule="auto"/>
      <w:tabs>
        <w:tab w:val="left" w:pos="1843" w:leader="none"/>
      </w:tabs>
      <w:outlineLvl w:val="2"/>
    </w:pPr>
    <w:rPr>
      <w:rFonts w:ascii="Arial" w:hAnsi="Arial"/>
      <w:color w:val="000000"/>
      <w:spacing w:val="38"/>
      <w:sz w:val="24"/>
    </w:rPr>
  </w:style>
  <w:style w:type="paragraph" w:styleId="753">
    <w:name w:val="Heading 4"/>
    <w:basedOn w:val="749"/>
    <w:unhideWhenUsed/>
    <w:qFormat/>
    <w:pPr>
      <w:keepLines/>
      <w:keepNext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754">
    <w:name w:val="Heading 5"/>
    <w:basedOn w:val="749"/>
    <w:qFormat/>
    <w:pPr>
      <w:ind w:left="284" w:right="284" w:firstLine="567"/>
      <w:jc w:val="both"/>
      <w:keepNext/>
      <w:spacing w:before="360" w:after="240" w:line="480" w:lineRule="auto"/>
      <w:outlineLvl w:val="4"/>
    </w:pPr>
    <w:rPr>
      <w:rFonts w:ascii="Arial" w:hAnsi="Arial"/>
      <w:color w:val="000000"/>
      <w:spacing w:val="38"/>
      <w:sz w:val="24"/>
    </w:rPr>
  </w:style>
  <w:style w:type="paragraph" w:styleId="755">
    <w:name w:val="Heading 6"/>
    <w:basedOn w:val="749"/>
    <w:qFormat/>
    <w:pPr>
      <w:ind w:left="284" w:right="284" w:firstLine="567"/>
      <w:jc w:val="both"/>
      <w:keepNext/>
      <w:spacing w:before="360" w:after="240" w:line="480" w:lineRule="auto"/>
      <w:outlineLvl w:val="5"/>
    </w:pPr>
    <w:rPr>
      <w:rFonts w:ascii="Arial" w:hAnsi="Arial"/>
      <w:color w:val="000000"/>
      <w:spacing w:val="38"/>
      <w:sz w:val="24"/>
    </w:rPr>
  </w:style>
  <w:style w:type="paragraph" w:styleId="756">
    <w:name w:val="Heading 7"/>
    <w:basedOn w:val="7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7">
    <w:name w:val="Heading 8"/>
    <w:basedOn w:val="7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8">
    <w:name w:val="Heading 9"/>
    <w:basedOn w:val="7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9" w:default="1">
    <w:name w:val="Default Paragraph Font"/>
    <w:uiPriority w:val="1"/>
    <w:semiHidden/>
    <w:unhideWhenUsed/>
  </w:style>
  <w:style w:type="table" w:styleId="7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1" w:default="1">
    <w:name w:val="No List"/>
    <w:uiPriority w:val="99"/>
    <w:semiHidden/>
    <w:unhideWhenUsed/>
  </w:style>
  <w:style w:type="character" w:styleId="762" w:customStyle="1">
    <w:name w:val="Heading 1 Char"/>
    <w:basedOn w:val="759"/>
    <w:uiPriority w:val="9"/>
    <w:qFormat/>
    <w:rPr>
      <w:rFonts w:ascii="Arial" w:hAnsi="Arial" w:eastAsia="Arial" w:cs="Arial"/>
      <w:sz w:val="40"/>
      <w:szCs w:val="40"/>
    </w:rPr>
  </w:style>
  <w:style w:type="character" w:styleId="763" w:customStyle="1">
    <w:name w:val="Heading 2 Char"/>
    <w:basedOn w:val="759"/>
    <w:uiPriority w:val="9"/>
    <w:qFormat/>
    <w:rPr>
      <w:rFonts w:ascii="Arial" w:hAnsi="Arial" w:eastAsia="Arial" w:cs="Arial"/>
      <w:sz w:val="34"/>
    </w:rPr>
  </w:style>
  <w:style w:type="character" w:styleId="764" w:customStyle="1">
    <w:name w:val="Heading 3 Char"/>
    <w:basedOn w:val="759"/>
    <w:uiPriority w:val="9"/>
    <w:qFormat/>
    <w:rPr>
      <w:rFonts w:ascii="Arial" w:hAnsi="Arial" w:eastAsia="Arial" w:cs="Arial"/>
      <w:sz w:val="30"/>
      <w:szCs w:val="30"/>
    </w:rPr>
  </w:style>
  <w:style w:type="character" w:styleId="765" w:customStyle="1">
    <w:name w:val="Heading 4 Char"/>
    <w:basedOn w:val="75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66" w:customStyle="1">
    <w:name w:val="Heading 5 Char"/>
    <w:basedOn w:val="75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67" w:customStyle="1">
    <w:name w:val="Heading 6 Char"/>
    <w:basedOn w:val="75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68" w:customStyle="1">
    <w:name w:val="Heading 7 Char"/>
    <w:basedOn w:val="75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69" w:customStyle="1">
    <w:name w:val="Heading 8 Char"/>
    <w:basedOn w:val="75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70" w:customStyle="1">
    <w:name w:val="Heading 9 Char"/>
    <w:basedOn w:val="75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71" w:customStyle="1">
    <w:name w:val="Title Char"/>
    <w:basedOn w:val="759"/>
    <w:uiPriority w:val="10"/>
    <w:qFormat/>
    <w:rPr>
      <w:sz w:val="48"/>
      <w:szCs w:val="48"/>
    </w:rPr>
  </w:style>
  <w:style w:type="character" w:styleId="772" w:customStyle="1">
    <w:name w:val="Subtitle Char"/>
    <w:basedOn w:val="759"/>
    <w:uiPriority w:val="11"/>
    <w:qFormat/>
    <w:rPr>
      <w:sz w:val="24"/>
      <w:szCs w:val="24"/>
    </w:rPr>
  </w:style>
  <w:style w:type="character" w:styleId="773" w:customStyle="1">
    <w:name w:val="Quote Char"/>
    <w:uiPriority w:val="29"/>
    <w:qFormat/>
    <w:rPr>
      <w:i/>
    </w:rPr>
  </w:style>
  <w:style w:type="character" w:styleId="774" w:customStyle="1">
    <w:name w:val="Intense Quote Char"/>
    <w:uiPriority w:val="30"/>
    <w:qFormat/>
    <w:rPr>
      <w:i/>
    </w:rPr>
  </w:style>
  <w:style w:type="character" w:styleId="775" w:customStyle="1">
    <w:name w:val="Header Char"/>
    <w:basedOn w:val="759"/>
    <w:uiPriority w:val="99"/>
    <w:qFormat/>
  </w:style>
  <w:style w:type="character" w:styleId="776" w:customStyle="1">
    <w:name w:val="Footer Char"/>
    <w:basedOn w:val="759"/>
    <w:uiPriority w:val="99"/>
    <w:qFormat/>
  </w:style>
  <w:style w:type="character" w:styleId="777" w:customStyle="1">
    <w:name w:val="Caption Char"/>
    <w:uiPriority w:val="99"/>
    <w:qFormat/>
  </w:style>
  <w:style w:type="character" w:styleId="778">
    <w:name w:val="Hyperlink"/>
    <w:uiPriority w:val="99"/>
    <w:unhideWhenUsed/>
    <w:rPr>
      <w:color w:val="0000ff" w:themeColor="hyperlink"/>
      <w:u w:val="single"/>
    </w:rPr>
  </w:style>
  <w:style w:type="character" w:styleId="779" w:customStyle="1">
    <w:name w:val="Footnote Text Char"/>
    <w:uiPriority w:val="99"/>
    <w:qFormat/>
    <w:rPr>
      <w:sz w:val="18"/>
    </w:rPr>
  </w:style>
  <w:style w:type="character" w:styleId="780" w:customStyle="1">
    <w:name w:val="Endnote Text Char"/>
    <w:uiPriority w:val="99"/>
    <w:qFormat/>
    <w:rPr>
      <w:sz w:val="20"/>
    </w:rPr>
  </w:style>
  <w:style w:type="character" w:styleId="781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82">
    <w:name w:val="endnote reference"/>
    <w:rPr>
      <w:vertAlign w:val="superscript"/>
    </w:rPr>
  </w:style>
  <w:style w:type="character" w:styleId="783" w:customStyle="1">
    <w:name w:val="Текст выноски Знак"/>
    <w:basedOn w:val="759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784" w:customStyle="1">
    <w:name w:val="Верхний колонтитул Знак"/>
    <w:basedOn w:val="759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85" w:customStyle="1">
    <w:name w:val="Нижний колонтитул Знак"/>
    <w:basedOn w:val="759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86" w:customStyle="1">
    <w:name w:val="Заголовок 1 Знак"/>
    <w:basedOn w:val="759"/>
    <w:qFormat/>
    <w:rPr>
      <w:rFonts w:ascii="Arial" w:hAnsi="Arial" w:eastAsia="Times New Roman" w:cs="Times New Roman"/>
      <w:b/>
      <w:sz w:val="40"/>
      <w:szCs w:val="20"/>
      <w:lang w:eastAsia="ru-RU"/>
    </w:rPr>
  </w:style>
  <w:style w:type="character" w:styleId="787" w:customStyle="1">
    <w:name w:val="Заголовок 2 Знак"/>
    <w:basedOn w:val="759"/>
    <w:qFormat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788">
    <w:name w:val="Emphasis"/>
    <w:basedOn w:val="759"/>
    <w:uiPriority w:val="20"/>
    <w:qFormat/>
    <w:rPr>
      <w:i/>
      <w:iCs/>
    </w:rPr>
  </w:style>
  <w:style w:type="character" w:styleId="789" w:customStyle="1">
    <w:name w:val="apple-converted-space"/>
    <w:basedOn w:val="759"/>
    <w:qFormat/>
  </w:style>
  <w:style w:type="character" w:styleId="790" w:customStyle="1">
    <w:name w:val="Символ сноски"/>
    <w:uiPriority w:val="99"/>
    <w:semiHidden/>
    <w:qFormat/>
    <w:rPr>
      <w:rFonts w:cs="Times New Roman"/>
      <w:vertAlign w:val="superscript"/>
    </w:rPr>
  </w:style>
  <w:style w:type="character" w:styleId="791">
    <w:name w:val="footnote reference"/>
    <w:rPr>
      <w:rFonts w:cs="Times New Roman"/>
      <w:vertAlign w:val="superscript"/>
    </w:rPr>
  </w:style>
  <w:style w:type="character" w:styleId="792" w:customStyle="1">
    <w:name w:val="Основной текст с отступом Знак"/>
    <w:basedOn w:val="759"/>
    <w:uiPriority w:val="99"/>
    <w:qFormat/>
  </w:style>
  <w:style w:type="character" w:styleId="793" w:customStyle="1">
    <w:name w:val="Основной текст с отступом 3 Знак"/>
    <w:basedOn w:val="759"/>
    <w:uiPriority w:val="99"/>
    <w:semiHidden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794">
    <w:name w:val="annotation reference"/>
    <w:basedOn w:val="759"/>
    <w:uiPriority w:val="99"/>
    <w:unhideWhenUsed/>
    <w:qFormat/>
    <w:rPr>
      <w:sz w:val="16"/>
      <w:szCs w:val="16"/>
    </w:rPr>
  </w:style>
  <w:style w:type="character" w:styleId="795" w:customStyle="1">
    <w:name w:val="Текст примечания Знак"/>
    <w:basedOn w:val="759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96" w:customStyle="1">
    <w:name w:val="Тема примечания Знак"/>
    <w:basedOn w:val="795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797" w:customStyle="1">
    <w:name w:val="Основной текст с отступом 2 Знак"/>
    <w:basedOn w:val="759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98" w:customStyle="1">
    <w:name w:val="Заголовок 4 Знак"/>
    <w:basedOn w:val="759"/>
    <w:uiPriority w:val="9"/>
    <w:semiHidden/>
    <w:qFormat/>
    <w:rPr>
      <w:rFonts w:asciiTheme="majorHAnsi" w:hAnsiTheme="majorHAnsi" w:eastAsiaTheme="majorEastAsia" w:cstheme="majorBidi"/>
      <w:i/>
      <w:iCs/>
      <w:color w:val="365f91" w:themeColor="accent1" w:themeShade="BF"/>
      <w:sz w:val="20"/>
      <w:szCs w:val="20"/>
      <w:lang w:eastAsia="ru-RU"/>
    </w:rPr>
  </w:style>
  <w:style w:type="character" w:styleId="799" w:customStyle="1">
    <w:name w:val="Стандартный HTML Знак"/>
    <w:basedOn w:val="759"/>
    <w:uiPriority w:val="99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800">
    <w:name w:val="Strong"/>
    <w:uiPriority w:val="22"/>
    <w:qFormat/>
    <w:rPr>
      <w:b/>
      <w:bCs/>
    </w:rPr>
  </w:style>
  <w:style w:type="character" w:styleId="801" w:customStyle="1">
    <w:name w:val="Font Style12"/>
    <w:uiPriority w:val="99"/>
    <w:qFormat/>
    <w:rPr>
      <w:rFonts w:ascii="Times New Roman" w:hAnsi="Times New Roman" w:cs="Times New Roman"/>
      <w:sz w:val="22"/>
      <w:szCs w:val="22"/>
    </w:rPr>
  </w:style>
  <w:style w:type="character" w:styleId="802" w:customStyle="1">
    <w:name w:val="Заголовок 3 Знак"/>
    <w:basedOn w:val="759"/>
    <w:qFormat/>
    <w:rPr>
      <w:rFonts w:ascii="Arial" w:hAnsi="Arial" w:eastAsia="Times New Roman" w:cs="Times New Roman"/>
      <w:color w:val="000000"/>
      <w:spacing w:val="38"/>
      <w:sz w:val="24"/>
      <w:szCs w:val="20"/>
      <w:lang w:eastAsia="ru-RU"/>
    </w:rPr>
  </w:style>
  <w:style w:type="character" w:styleId="803" w:customStyle="1">
    <w:name w:val="Заголовок 5 Знак"/>
    <w:basedOn w:val="759"/>
    <w:qFormat/>
    <w:rPr>
      <w:rFonts w:ascii="Arial" w:hAnsi="Arial" w:eastAsia="Times New Roman" w:cs="Times New Roman"/>
      <w:color w:val="000000"/>
      <w:spacing w:val="38"/>
      <w:sz w:val="24"/>
      <w:szCs w:val="20"/>
      <w:lang w:eastAsia="ru-RU"/>
    </w:rPr>
  </w:style>
  <w:style w:type="character" w:styleId="804" w:customStyle="1">
    <w:name w:val="Заголовок 6 Знак"/>
    <w:basedOn w:val="759"/>
    <w:qFormat/>
    <w:rPr>
      <w:rFonts w:ascii="Arial" w:hAnsi="Arial" w:eastAsia="Times New Roman" w:cs="Times New Roman"/>
      <w:color w:val="000000"/>
      <w:spacing w:val="38"/>
      <w:sz w:val="24"/>
      <w:szCs w:val="20"/>
      <w:lang w:eastAsia="ru-RU"/>
    </w:rPr>
  </w:style>
  <w:style w:type="character" w:styleId="805" w:customStyle="1">
    <w:name w:val="Основной текст (2)_"/>
    <w:qFormat/>
    <w:rPr>
      <w:rFonts w:ascii="Times New Roman" w:hAnsi="Times New Roman" w:eastAsia="Times New Roman"/>
      <w:sz w:val="28"/>
      <w:szCs w:val="28"/>
      <w:shd w:val="clear" w:color="auto" w:fill="ffffff"/>
    </w:rPr>
  </w:style>
  <w:style w:type="character" w:styleId="806" w:customStyle="1">
    <w:name w:val="Абзац списка Знак"/>
    <w:uiPriority w:val="34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07" w:customStyle="1">
    <w:name w:val="Font Style38"/>
    <w:uiPriority w:val="99"/>
    <w:qFormat/>
    <w:rPr>
      <w:rFonts w:ascii="Times New Roman" w:hAnsi="Times New Roman" w:cs="Times New Roman"/>
      <w:sz w:val="22"/>
      <w:szCs w:val="22"/>
    </w:rPr>
  </w:style>
  <w:style w:type="character" w:styleId="808">
    <w:name w:val="line number"/>
  </w:style>
  <w:style w:type="character" w:styleId="809" w:customStyle="1">
    <w:name w:val="Символ нумерации"/>
    <w:qFormat/>
  </w:style>
  <w:style w:type="character" w:styleId="810" w:customStyle="1">
    <w:name w:val="Маркеры"/>
    <w:qFormat/>
    <w:rPr>
      <w:rFonts w:ascii="OpenSymbol" w:hAnsi="OpenSymbol" w:eastAsia="OpenSymbol" w:cs="OpenSymbol"/>
    </w:rPr>
  </w:style>
  <w:style w:type="paragraph" w:styleId="811">
    <w:name w:val="Title"/>
    <w:basedOn w:val="749"/>
    <w:next w:val="812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12">
    <w:name w:val="Body Text"/>
    <w:basedOn w:val="749"/>
    <w:pPr>
      <w:spacing w:after="140" w:line="276" w:lineRule="auto"/>
    </w:pPr>
  </w:style>
  <w:style w:type="paragraph" w:styleId="813">
    <w:name w:val="List"/>
    <w:basedOn w:val="812"/>
    <w:rPr>
      <w:rFonts w:cs="Lohit Devanagari"/>
    </w:rPr>
  </w:style>
  <w:style w:type="paragraph" w:styleId="814">
    <w:name w:val="Caption"/>
    <w:basedOn w:val="749"/>
    <w:link w:val="777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815">
    <w:name w:val="index heading"/>
    <w:basedOn w:val="811"/>
  </w:style>
  <w:style w:type="paragraph" w:styleId="816">
    <w:name w:val="Subtitle"/>
    <w:basedOn w:val="749"/>
    <w:uiPriority w:val="11"/>
    <w:qFormat/>
    <w:pPr>
      <w:spacing w:before="200" w:after="200"/>
    </w:pPr>
    <w:rPr>
      <w:sz w:val="24"/>
      <w:szCs w:val="24"/>
    </w:rPr>
  </w:style>
  <w:style w:type="paragraph" w:styleId="817">
    <w:name w:val="Quote"/>
    <w:basedOn w:val="749"/>
    <w:uiPriority w:val="29"/>
    <w:qFormat/>
    <w:pPr>
      <w:ind w:left="720" w:right="720"/>
    </w:pPr>
    <w:rPr>
      <w:i/>
    </w:rPr>
  </w:style>
  <w:style w:type="paragraph" w:styleId="818">
    <w:name w:val="Intense Quote"/>
    <w:basedOn w:val="7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19">
    <w:name w:val="footnote text"/>
    <w:basedOn w:val="749"/>
    <w:uiPriority w:val="99"/>
    <w:semiHidden/>
    <w:unhideWhenUsed/>
    <w:pPr>
      <w:spacing w:after="40"/>
    </w:pPr>
    <w:rPr>
      <w:sz w:val="18"/>
    </w:rPr>
  </w:style>
  <w:style w:type="paragraph" w:styleId="820">
    <w:name w:val="endnote text"/>
    <w:basedOn w:val="749"/>
    <w:uiPriority w:val="99"/>
    <w:semiHidden/>
    <w:unhideWhenUsed/>
  </w:style>
  <w:style w:type="paragraph" w:styleId="821">
    <w:name w:val="toc 1"/>
    <w:basedOn w:val="749"/>
    <w:uiPriority w:val="39"/>
    <w:unhideWhenUsed/>
    <w:pPr>
      <w:spacing w:after="57"/>
    </w:pPr>
  </w:style>
  <w:style w:type="paragraph" w:styleId="822">
    <w:name w:val="toc 2"/>
    <w:basedOn w:val="749"/>
    <w:uiPriority w:val="39"/>
    <w:unhideWhenUsed/>
    <w:pPr>
      <w:ind w:left="283"/>
      <w:spacing w:after="57"/>
    </w:pPr>
  </w:style>
  <w:style w:type="paragraph" w:styleId="823">
    <w:name w:val="toc 4"/>
    <w:basedOn w:val="749"/>
    <w:uiPriority w:val="39"/>
    <w:unhideWhenUsed/>
    <w:pPr>
      <w:ind w:left="850"/>
      <w:spacing w:after="57"/>
    </w:pPr>
  </w:style>
  <w:style w:type="paragraph" w:styleId="824">
    <w:name w:val="toc 5"/>
    <w:basedOn w:val="749"/>
    <w:uiPriority w:val="39"/>
    <w:unhideWhenUsed/>
    <w:pPr>
      <w:ind w:left="1134"/>
      <w:spacing w:after="57"/>
    </w:pPr>
  </w:style>
  <w:style w:type="paragraph" w:styleId="825">
    <w:name w:val="toc 6"/>
    <w:basedOn w:val="749"/>
    <w:uiPriority w:val="39"/>
    <w:unhideWhenUsed/>
    <w:pPr>
      <w:ind w:left="1417"/>
      <w:spacing w:after="57"/>
    </w:pPr>
  </w:style>
  <w:style w:type="paragraph" w:styleId="826">
    <w:name w:val="toc 7"/>
    <w:basedOn w:val="749"/>
    <w:uiPriority w:val="39"/>
    <w:unhideWhenUsed/>
    <w:pPr>
      <w:ind w:left="1701"/>
      <w:spacing w:after="57"/>
    </w:pPr>
  </w:style>
  <w:style w:type="paragraph" w:styleId="827">
    <w:name w:val="toc 8"/>
    <w:basedOn w:val="749"/>
    <w:uiPriority w:val="39"/>
    <w:unhideWhenUsed/>
    <w:pPr>
      <w:ind w:left="1984"/>
      <w:spacing w:after="57"/>
    </w:pPr>
  </w:style>
  <w:style w:type="paragraph" w:styleId="828">
    <w:name w:val="toc 9"/>
    <w:basedOn w:val="749"/>
    <w:uiPriority w:val="39"/>
    <w:unhideWhenUsed/>
    <w:pPr>
      <w:ind w:left="2268"/>
      <w:spacing w:after="57"/>
    </w:pPr>
  </w:style>
  <w:style w:type="paragraph" w:styleId="829">
    <w:name w:val="TOC Heading"/>
    <w:uiPriority w:val="39"/>
    <w:unhideWhenUsed/>
    <w:qFormat/>
  </w:style>
  <w:style w:type="paragraph" w:styleId="830">
    <w:name w:val="table of figures"/>
    <w:basedOn w:val="749"/>
    <w:uiPriority w:val="99"/>
    <w:unhideWhenUsed/>
  </w:style>
  <w:style w:type="paragraph" w:styleId="831" w:customStyle="1">
    <w:name w:val="Знак Знак Знак2 Знак1 Знак Знак"/>
    <w:basedOn w:val="749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832">
    <w:name w:val="Balloon Text"/>
    <w:basedOn w:val="74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833" w:customStyle="1">
    <w:name w:val="Колонтитул"/>
    <w:basedOn w:val="749"/>
    <w:qFormat/>
  </w:style>
  <w:style w:type="paragraph" w:styleId="834">
    <w:name w:val="Header"/>
    <w:basedOn w:val="749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835">
    <w:name w:val="Footer"/>
    <w:basedOn w:val="749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836">
    <w:name w:val="List Paragraph"/>
    <w:basedOn w:val="749"/>
    <w:uiPriority w:val="34"/>
    <w:qFormat/>
    <w:pPr>
      <w:contextualSpacing/>
      <w:ind w:left="720"/>
    </w:pPr>
  </w:style>
  <w:style w:type="paragraph" w:styleId="837" w:customStyle="1">
    <w:name w:val="Знак Знак Знак2 Знак1 Знак Знак1"/>
    <w:basedOn w:val="749"/>
    <w:qFormat/>
    <w:pPr>
      <w:spacing w:beforeAutospacing="1" w:afterAutospacing="1"/>
    </w:pPr>
    <w:rPr>
      <w:rFonts w:ascii="Tahoma" w:hAnsi="Tahoma"/>
      <w:lang w:val="en-US" w:eastAsia="en-US"/>
    </w:rPr>
  </w:style>
  <w:style w:type="paragraph" w:styleId="838" w:customStyle="1">
    <w:name w:val="Пункт"/>
    <w:basedOn w:val="749"/>
    <w:qFormat/>
    <w:pPr>
      <w:numPr>
        <w:ilvl w:val="2"/>
        <w:numId w:val="1"/>
      </w:numPr>
      <w:jc w:val="both"/>
      <w:spacing w:line="360" w:lineRule="auto"/>
    </w:pPr>
    <w:rPr>
      <w:sz w:val="28"/>
    </w:rPr>
  </w:style>
  <w:style w:type="paragraph" w:styleId="839" w:customStyle="1">
    <w:name w:val="Подпункт"/>
    <w:basedOn w:val="838"/>
    <w:qFormat/>
  </w:style>
  <w:style w:type="paragraph" w:styleId="840" w:customStyle="1">
    <w:name w:val="Подподпункт"/>
    <w:basedOn w:val="839"/>
    <w:qFormat/>
  </w:style>
  <w:style w:type="paragraph" w:styleId="841">
    <w:name w:val="No Spacing"/>
    <w:uiPriority w:val="1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2" w:customStyle="1">
    <w:name w:val="Юристы"/>
    <w:uiPriority w:val="99"/>
    <w:qFormat/>
    <w:pPr>
      <w:jc w:val="both"/>
      <w:spacing w:before="120"/>
    </w:pPr>
    <w:rPr>
      <w:szCs w:val="24"/>
    </w:rPr>
  </w:style>
  <w:style w:type="paragraph" w:styleId="843">
    <w:name w:val="Body Text Indent"/>
    <w:basedOn w:val="749"/>
    <w:uiPriority w:val="99"/>
    <w:unhideWhenUsed/>
    <w:pPr>
      <w:ind w:left="283"/>
      <w:spacing w:after="12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44">
    <w:name w:val="Body Text Indent 3"/>
    <w:basedOn w:val="749"/>
    <w:uiPriority w:val="99"/>
    <w:semiHidden/>
    <w:unhideWhenUsed/>
    <w:qFormat/>
    <w:pPr>
      <w:ind w:left="283"/>
      <w:spacing w:after="120"/>
    </w:pPr>
    <w:rPr>
      <w:sz w:val="16"/>
      <w:szCs w:val="16"/>
    </w:rPr>
  </w:style>
  <w:style w:type="paragraph" w:styleId="845">
    <w:name w:val="annotation text"/>
    <w:basedOn w:val="749"/>
    <w:uiPriority w:val="99"/>
    <w:unhideWhenUsed/>
    <w:qFormat/>
  </w:style>
  <w:style w:type="paragraph" w:styleId="846">
    <w:name w:val="annotation subject"/>
    <w:basedOn w:val="845"/>
    <w:uiPriority w:val="99"/>
    <w:semiHidden/>
    <w:unhideWhenUsed/>
    <w:qFormat/>
    <w:rPr>
      <w:b/>
      <w:bCs/>
    </w:rPr>
  </w:style>
  <w:style w:type="paragraph" w:styleId="847">
    <w:name w:val="Body Text Indent 2"/>
    <w:basedOn w:val="749"/>
    <w:uiPriority w:val="99"/>
    <w:semiHidden/>
    <w:unhideWhenUsed/>
    <w:qFormat/>
    <w:pPr>
      <w:ind w:left="283"/>
      <w:spacing w:after="120" w:line="480" w:lineRule="auto"/>
    </w:pPr>
  </w:style>
  <w:style w:type="paragraph" w:styleId="848">
    <w:name w:val="HTML Preformatted"/>
    <w:basedOn w:val="749"/>
    <w:uiPriority w:val="99"/>
    <w:unhideWhenUsed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paragraph" w:styleId="849">
    <w:name w:val="List Number"/>
    <w:basedOn w:val="749"/>
    <w:uiPriority w:val="99"/>
    <w:pPr>
      <w:ind w:left="502" w:hanging="360"/>
      <w:spacing w:before="120"/>
      <w:tabs>
        <w:tab w:val="left" w:pos="502" w:leader="none"/>
      </w:tabs>
    </w:pPr>
    <w:rPr>
      <w:sz w:val="24"/>
      <w:lang w:eastAsia="en-US"/>
    </w:rPr>
  </w:style>
  <w:style w:type="paragraph" w:styleId="850" w:customStyle="1">
    <w:name w:val="Знак Знак"/>
    <w:basedOn w:val="749"/>
    <w:qFormat/>
    <w:pPr>
      <w:spacing w:after="160" w:line="240" w:lineRule="exact"/>
      <w:tabs>
        <w:tab w:val="left" w:pos="360" w:leader="none"/>
      </w:tabs>
    </w:pPr>
    <w:rPr>
      <w:rFonts w:ascii="Verdana" w:hAnsi="Verdana" w:cs="Verdana"/>
      <w:lang w:val="en-US" w:eastAsia="en-US"/>
    </w:rPr>
  </w:style>
  <w:style w:type="paragraph" w:styleId="851" w:customStyle="1">
    <w:name w:val="ListBul"/>
    <w:basedOn w:val="749"/>
    <w:qFormat/>
    <w:pPr>
      <w:numPr>
        <w:ilvl w:val="0"/>
        <w:numId w:val="3"/>
      </w:numPr>
      <w:jc w:val="both"/>
      <w:tabs>
        <w:tab w:val="left" w:pos="284" w:leader="none"/>
      </w:tabs>
    </w:pPr>
    <w:rPr>
      <w:sz w:val="22"/>
      <w:szCs w:val="24"/>
    </w:rPr>
  </w:style>
  <w:style w:type="paragraph" w:styleId="852" w:customStyle="1">
    <w:name w:val="Пункт 2-го уровня"/>
    <w:basedOn w:val="751"/>
    <w:qFormat/>
    <w:pPr>
      <w:ind w:left="1" w:right="284" w:firstLine="567"/>
      <w:jc w:val="both"/>
      <w:spacing w:before="0" w:after="0" w:line="360" w:lineRule="auto"/>
      <w:tabs>
        <w:tab w:val="left" w:pos="1559" w:leader="none"/>
      </w:tabs>
    </w:pPr>
    <w:rPr>
      <w:rFonts w:ascii="Arial" w:hAnsi="Arial"/>
      <w:color w:val="000000"/>
      <w:sz w:val="24"/>
    </w:rPr>
  </w:style>
  <w:style w:type="paragraph" w:styleId="853" w:customStyle="1">
    <w:name w:val="Пункт приложения 3-го уровня"/>
    <w:basedOn w:val="749"/>
    <w:qFormat/>
    <w:pPr>
      <w:ind w:left="284" w:right="284" w:firstLine="567"/>
      <w:jc w:val="both"/>
      <w:spacing w:line="360" w:lineRule="auto"/>
      <w:outlineLvl w:val="3"/>
    </w:pPr>
    <w:rPr>
      <w:rFonts w:ascii="Arial" w:hAnsi="Arial"/>
      <w:color w:val="000000"/>
      <w:sz w:val="24"/>
    </w:rPr>
  </w:style>
  <w:style w:type="paragraph" w:styleId="854">
    <w:name w:val="toc 3"/>
    <w:basedOn w:val="749"/>
    <w:uiPriority w:val="39"/>
    <w:pPr>
      <w:ind w:left="567" w:right="284"/>
      <w:spacing w:line="360" w:lineRule="auto"/>
      <w:tabs>
        <w:tab w:val="right" w:pos="9639" w:leader="dot"/>
      </w:tabs>
    </w:pPr>
    <w:rPr>
      <w:iCs/>
      <w:sz w:val="24"/>
    </w:rPr>
  </w:style>
  <w:style w:type="paragraph" w:styleId="855" w:customStyle="1">
    <w:name w:val="-=Перечисление=-"/>
    <w:basedOn w:val="749"/>
    <w:qFormat/>
    <w:pPr>
      <w:numPr>
        <w:ilvl w:val="0"/>
        <w:numId w:val="4"/>
      </w:numPr>
      <w:contextualSpacing/>
      <w:ind w:left="1429"/>
      <w:jc w:val="both"/>
      <w:spacing w:line="360" w:lineRule="auto"/>
      <w:shd w:val="clear" w:color="auto" w:fill="ffffff"/>
      <w:widowControl w:val="off"/>
    </w:pPr>
    <w:rPr>
      <w:bCs/>
      <w:spacing w:val="-6"/>
      <w:sz w:val="24"/>
      <w:szCs w:val="28"/>
    </w:rPr>
  </w:style>
  <w:style w:type="paragraph" w:styleId="856" w:customStyle="1">
    <w:name w:val="Основной текст (2)"/>
    <w:basedOn w:val="749"/>
    <w:qFormat/>
    <w:pPr>
      <w:ind w:hanging="420"/>
      <w:jc w:val="both"/>
      <w:spacing w:before="360" w:after="480" w:line="322" w:lineRule="exact"/>
      <w:shd w:val="clear" w:color="auto" w:fill="ffffff"/>
      <w:widowControl w:val="off"/>
    </w:pPr>
    <w:rPr>
      <w:rFonts w:cstheme="minorBidi"/>
      <w:sz w:val="28"/>
      <w:szCs w:val="28"/>
      <w:lang w:eastAsia="en-US"/>
    </w:rPr>
  </w:style>
  <w:style w:type="paragraph" w:styleId="857" w:customStyle="1">
    <w:name w:val="Тире"/>
    <w:basedOn w:val="749"/>
    <w:uiPriority w:val="99"/>
    <w:qFormat/>
    <w:pPr>
      <w:numPr>
        <w:ilvl w:val="0"/>
        <w:numId w:val="5"/>
      </w:numPr>
      <w:spacing w:after="120"/>
      <w:widowControl w:val="off"/>
    </w:pPr>
    <w:rPr>
      <w:rFonts w:eastAsia="MS Mincho"/>
      <w:sz w:val="24"/>
      <w:szCs w:val="24"/>
      <w:lang w:eastAsia="ja-JP"/>
    </w:rPr>
  </w:style>
  <w:style w:type="paragraph" w:styleId="858">
    <w:name w:val="Revision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59" w:customStyle="1">
    <w:name w:val="Style26"/>
    <w:basedOn w:val="749"/>
    <w:uiPriority w:val="99"/>
    <w:qFormat/>
    <w:pPr>
      <w:jc w:val="both"/>
      <w:spacing w:line="278" w:lineRule="exact"/>
      <w:widowControl w:val="off"/>
    </w:pPr>
    <w:rPr>
      <w:sz w:val="24"/>
      <w:szCs w:val="24"/>
    </w:rPr>
  </w:style>
  <w:style w:type="paragraph" w:styleId="860" w:customStyle="1">
    <w:name w:val="Содержимое таблицы"/>
    <w:basedOn w:val="749"/>
    <w:qFormat/>
    <w:pPr>
      <w:widowControl w:val="off"/>
      <w:suppressLineNumbers/>
    </w:pPr>
  </w:style>
  <w:style w:type="paragraph" w:styleId="861" w:customStyle="1">
    <w:name w:val="Заголовок таблицы"/>
    <w:basedOn w:val="860"/>
    <w:qFormat/>
    <w:pPr>
      <w:jc w:val="center"/>
    </w:pPr>
    <w:rPr>
      <w:b/>
      <w:bCs/>
    </w:rPr>
  </w:style>
  <w:style w:type="table" w:styleId="862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3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4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65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866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867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868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fff" w:themeFill="text1" w:themeFillTint="00"/>
      </w:tcPr>
    </w:tblStylePr>
    <w:tblStylePr w:type="band1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9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0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1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2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3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4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5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6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91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ce6f2" w:themeFill="accent1" w:themeFillTint="32"/>
      </w:tcPr>
    </w:tblStylePr>
    <w:tblStylePr w:type="band1Vert">
      <w:rPr>
        <w:sz w:val="22"/>
      </w:rPr>
      <w:tcPr>
        <w:shd w:val="clear" w:color="ffffff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892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dcdc" w:themeFill="accent2" w:themeFillTint="32"/>
      </w:tcPr>
    </w:tblStylePr>
    <w:tblStylePr w:type="band1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893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af1dc" w:themeFill="accent3" w:themeFillTint="34"/>
      </w:tcPr>
    </w:tblStylePr>
    <w:tblStylePr w:type="band1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894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895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96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97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ec4e0" w:themeFill="accent1" w:themeFillTint="75"/>
      </w:tcPr>
    </w:tblStylePr>
    <w:tblStylePr w:type="band1Vert">
      <w:tcPr>
        <w:shd w:val="clear" w:color="ffffff" w:fill="aec4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shd w:val="clear" w:color="ffffff" w:fill="4f81bd" w:themeFill="accent1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2aead" w:themeFill="accent2" w:themeFillTint="75"/>
      </w:tcPr>
    </w:tblStylePr>
    <w:tblStylePr w:type="band1Vert">
      <w:tcPr>
        <w:shd w:val="clear" w:color="ffffff" w:fill="e2aead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shd w:val="clear" w:color="ffffff" w:fill="c0504d" w:themeFill="accent2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0dfb2" w:themeFill="accent3" w:themeFillTint="75"/>
      </w:tcPr>
    </w:tblStylePr>
    <w:tblStylePr w:type="band1Vert">
      <w:tcPr>
        <w:shd w:val="clear" w:color="ffffff" w:fill="d0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shd w:val="clear" w:color="ffffff" w:fill="9bbb59" w:themeFill="accent3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shd w:val="clear" w:color="ffffff" w:fill="8064a2" w:themeFill="accent4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cd8e4" w:themeFill="accent5" w:themeFillTint="75"/>
      </w:tcPr>
    </w:tblStylePr>
    <w:tblStylePr w:type="band1Vert">
      <w:tcPr>
        <w:shd w:val="clear" w:color="ffffff" w:fill="acd8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shd w:val="clear" w:color="ffffff" w:fill="4bacc6" w:themeFill="accent5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bceaa" w:themeFill="accent6" w:themeFillTint="75"/>
      </w:tcPr>
    </w:tblStylePr>
    <w:tblStylePr w:type="band1Vert">
      <w:tcPr>
        <w:shd w:val="clear" w:color="ffffff" w:fill="fbceaa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shd w:val="clear" w:color="ffffff" w:fill="f79646" w:themeFill="accent6"/>
        <w:tcBorders>
          <w:top w:val="single" w:color="FFFFFF" w:themeColor="light1" w:sz="4" w:space="0"/>
        </w:tcBorders>
      </w:tcPr>
    </w:tblStylePr>
  </w:style>
  <w:style w:type="table" w:styleId="904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5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6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7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8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9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0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1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926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2dfee" w:themeFill="accent1" w:themeFillTint="40"/>
      </w:tc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927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fd2d2" w:themeFill="accent2" w:themeFillTint="40"/>
      </w:tc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928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eed5" w:themeFill="accent3" w:themeFillTint="40"/>
      </w:tc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929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930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931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4d0" w:themeFill="accent6" w:themeFillTint="40"/>
      </w:tc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932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3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4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5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6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7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8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39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0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2dfee" w:themeFill="accent1" w:themeFillTint="40"/>
      </w:tcPr>
    </w:tblStylePr>
    <w:tblStylePr w:type="band1Vert">
      <w:rPr>
        <w:sz w:val="22"/>
      </w:rPr>
      <w:tcPr>
        <w:shd w:val="clear" w:color="ffffff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1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fd2d2" w:themeFill="accent2" w:themeFillTint="40"/>
      </w:tcPr>
    </w:tblStylePr>
    <w:tblStylePr w:type="band1Vert">
      <w:rPr>
        <w:sz w:val="22"/>
      </w:rPr>
      <w:tcPr>
        <w:shd w:val="clear" w:color="ffffff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2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5eed5" w:themeFill="accent3" w:themeFillTint="40"/>
      </w:tcPr>
    </w:tblStylePr>
    <w:tblStylePr w:type="band1Vert">
      <w:rPr>
        <w:sz w:val="22"/>
      </w:rPr>
      <w:tcPr>
        <w:shd w:val="clear" w:color="ffffff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3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4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5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de4d0" w:themeFill="accent6" w:themeFillTint="40"/>
      </w:tcPr>
    </w:tblStylePr>
    <w:tblStylePr w:type="band1Vert">
      <w:rPr>
        <w:sz w:val="22"/>
      </w:rPr>
      <w:tcPr>
        <w:shd w:val="clear" w:color="ffffff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46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7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8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9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0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1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2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3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954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5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956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957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958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959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960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fff" w:themeFill="text1" w:themeFillTint="00"/>
      </w:tcPr>
    </w:tblStylePr>
    <w:tblStylePr w:type="band2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68" w:customStyle="1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</w:style>
  <w:style w:type="table" w:styleId="969" w:customStyle="1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</w:style>
  <w:style w:type="table" w:styleId="970" w:customStyle="1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</w:style>
  <w:style w:type="table" w:styleId="971" w:customStyle="1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72" w:customStyle="1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73" w:customStyle="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74" w:customStyle="1">
    <w:name w:val="Bordered &amp; Lined - Accent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fff" w:themeFill="text1" w:themeFillTint="00"/>
      </w:tcPr>
    </w:tblStylePr>
    <w:tblStylePr w:type="band2Vert">
      <w:rPr>
        <w:sz w:val="22"/>
      </w:rPr>
      <w:tcPr>
        <w:shd w:val="clear" w:color="ffffff" w:fill="ffffff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975" w:customStyle="1">
    <w:name w:val="Bordered &amp; Lined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ac2" w:themeFill="accent1" w:themeFillTint="EA"/>
      </w:tcPr>
    </w:tblStylePr>
    <w:tblStylePr w:type="firstRow">
      <w:rPr>
        <w:sz w:val="22"/>
      </w:rPr>
      <w:tcPr>
        <w:shd w:val="clear" w:color="ffffff" w:fill="5d8ac2" w:themeFill="accent1" w:themeFillTint="EA"/>
      </w:tcPr>
    </w:tblStylePr>
    <w:tblStylePr w:type="lastCol">
      <w:rPr>
        <w:sz w:val="22"/>
      </w:rPr>
      <w:tcPr>
        <w:shd w:val="clear" w:color="ffffff" w:fill="5d8ac2" w:themeFill="accent1" w:themeFillTint="EA"/>
      </w:tcPr>
    </w:tblStylePr>
    <w:tblStylePr w:type="lastRow">
      <w:rPr>
        <w:sz w:val="22"/>
      </w:rPr>
      <w:tcPr>
        <w:shd w:val="clear" w:color="ffffff" w:fill="5d8ac2" w:themeFill="accent1" w:themeFillTint="EA"/>
      </w:tcPr>
    </w:tblStylePr>
  </w:style>
  <w:style w:type="table" w:styleId="976" w:customStyle="1">
    <w:name w:val="Bordered &amp; Lined - Accent 2"/>
    <w:uiPriority w:val="99"/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c" w:themeFill="accent2" w:themeFillTint="32"/>
      </w:tcPr>
    </w:tblStylePr>
    <w:tblStylePr w:type="band2Vert">
      <w:rPr>
        <w:sz w:val="22"/>
      </w:rPr>
      <w:tcPr>
        <w:shd w:val="clear" w:color="ffffff" w:fill="f2dcdc" w:themeFill="accent2" w:themeFillTint="32"/>
      </w:tcPr>
    </w:tblStylePr>
    <w:tblStylePr w:type="firstCol">
      <w:rPr>
        <w:sz w:val="22"/>
      </w:rPr>
      <w:tcPr>
        <w:shd w:val="clear" w:color="ffffff" w:fill="d99695" w:themeFill="accent2" w:themeFillTint="97"/>
      </w:tcPr>
    </w:tblStylePr>
    <w:tblStylePr w:type="firstRow">
      <w:rPr>
        <w:sz w:val="22"/>
      </w:rPr>
      <w:tcPr>
        <w:shd w:val="clear" w:color="ffffff" w:fill="d99695" w:themeFill="accent2" w:themeFillTint="97"/>
      </w:tcPr>
    </w:tblStylePr>
    <w:tblStylePr w:type="lastCol">
      <w:rPr>
        <w:sz w:val="22"/>
      </w:rPr>
      <w:tcPr>
        <w:shd w:val="clear" w:color="ffffff" w:fill="d99695" w:themeFill="accent2" w:themeFillTint="97"/>
      </w:tcPr>
    </w:tblStylePr>
    <w:tblStylePr w:type="lastRow">
      <w:rPr>
        <w:sz w:val="22"/>
      </w:rPr>
      <w:tcPr>
        <w:shd w:val="clear" w:color="ffffff" w:fill="d99695" w:themeFill="accent2" w:themeFillTint="97"/>
      </w:tcPr>
    </w:tblStylePr>
  </w:style>
  <w:style w:type="table" w:styleId="977" w:customStyle="1">
    <w:name w:val="Bordered &amp; Lined - Accent 3"/>
    <w:uiPriority w:val="99"/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1dc" w:themeFill="accent3" w:themeFillTint="34"/>
      </w:tcPr>
    </w:tblStylePr>
    <w:tblStylePr w:type="band2Vert">
      <w:rPr>
        <w:sz w:val="22"/>
      </w:rPr>
      <w:tcPr>
        <w:shd w:val="clear" w:color="ffffff" w:fill="eaf1dc" w:themeFill="accent3" w:themeFillTint="34"/>
      </w:tcPr>
    </w:tblStylePr>
    <w:tblStylePr w:type="firstCol">
      <w:rPr>
        <w:sz w:val="22"/>
      </w:rPr>
      <w:tcPr>
        <w:shd w:val="clear" w:color="ffffff" w:fill="9abb59" w:themeFill="accent3" w:themeFillTint="FE"/>
      </w:tcPr>
    </w:tblStylePr>
    <w:tblStylePr w:type="firstRow">
      <w:rPr>
        <w:sz w:val="22"/>
      </w:rPr>
      <w:tcPr>
        <w:shd w:val="clear" w:color="ffffff" w:fill="9abb59" w:themeFill="accent3" w:themeFillTint="FE"/>
      </w:tcPr>
    </w:tblStylePr>
    <w:tblStylePr w:type="lastCol">
      <w:rPr>
        <w:sz w:val="22"/>
      </w:rPr>
      <w:tcPr>
        <w:shd w:val="clear" w:color="ffffff" w:fill="9abb59" w:themeFill="accent3" w:themeFillTint="FE"/>
      </w:tcPr>
    </w:tblStylePr>
    <w:tblStylePr w:type="lastRow">
      <w:rPr>
        <w:sz w:val="22"/>
      </w:rPr>
      <w:tcPr>
        <w:shd w:val="clear" w:color="ffffff" w:fill="9abb59" w:themeFill="accent3" w:themeFillTint="FE"/>
      </w:tcPr>
    </w:tblStylePr>
  </w:style>
  <w:style w:type="table" w:styleId="978" w:customStyle="1">
    <w:name w:val="Bordered &amp; Lined - Accent 4"/>
    <w:uiPriority w:val="99"/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979" w:customStyle="1">
    <w:name w:val="Bordered &amp; Lined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980" w:customStyle="1">
    <w:name w:val="Bordered &amp; Lined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981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82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3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984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985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986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987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  <w:style w:type="paragraph" w:styleId="988" w:customStyle="1">
    <w:name w:val="Содержимое врезки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E9D47-96C7-4AAC-B76A-108BADFDF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Руденко Виталий Александрович</dc:creator>
  <dc:description/>
  <dc:language>ru-RU</dc:language>
  <cp:lastModifiedBy>timirshaekhov_aa</cp:lastModifiedBy>
  <cp:revision>51</cp:revision>
  <dcterms:created xsi:type="dcterms:W3CDTF">2023-10-11T22:55:00Z</dcterms:created>
  <dcterms:modified xsi:type="dcterms:W3CDTF">2025-07-29T00:49:52Z</dcterms:modified>
</cp:coreProperties>
</file>